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032" w:h="1415" w:hRule="exact" w:wrap="none" w:vAnchor="page" w:hAnchor="page" w:x="6859" w:y="11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Утверждаю: </w:t>
      </w:r>
      <w:r>
        <w:rPr>
          <w:rStyle w:val="CharStyle5"/>
        </w:rPr>
        <w:t>огр* ‘ ■</w:t>
      </w:r>
    </w:p>
    <w:p>
      <w:pPr>
        <w:pStyle w:val="Style3"/>
        <w:framePr w:w="4032" w:h="1415" w:hRule="exact" w:wrap="none" w:vAnchor="page" w:hAnchor="page" w:x="6859" w:y="11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Заведующий</w:t>
      </w:r>
    </w:p>
    <w:p>
      <w:pPr>
        <w:pStyle w:val="Style3"/>
        <w:framePr w:w="4032" w:h="1415" w:hRule="exact" w:wrap="none" w:vAnchor="page" w:hAnchor="page" w:x="6859" w:y="11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МДОУ </w:t>
      </w:r>
      <w:r>
        <w:rPr>
          <w:rStyle w:val="CharStyle6"/>
        </w:rPr>
        <w:t xml:space="preserve">«дс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КВ № 118 п. Полевой»</w:t>
      </w:r>
    </w:p>
    <w:p>
      <w:pPr>
        <w:pStyle w:val="Style3"/>
        <w:framePr w:w="4032" w:h="1415" w:hRule="exact" w:wrap="none" w:vAnchor="page" w:hAnchor="page" w:x="6859" w:y="1125"/>
        <w:tabs>
          <w:tab w:leader="underscore" w:pos="28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141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 xml:space="preserve">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B.I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I. Поппе</w:t>
      </w:r>
    </w:p>
    <w:p>
      <w:pPr>
        <w:pStyle w:val="Style3"/>
        <w:framePr w:w="4032" w:h="1415" w:hRule="exact" w:wrap="none" w:vAnchor="page" w:hAnchor="page" w:x="6859" w:y="1125"/>
        <w:tabs>
          <w:tab w:leader="none" w:pos="33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Приказ № </w:t>
      </w:r>
      <w:r>
        <w:rPr>
          <w:rStyle w:val="CharStyle7"/>
          <w:b/>
          <w:bCs/>
        </w:rPr>
        <w:t>/&lt;/* &lt; ■..</w:t>
      </w:r>
      <w:r>
        <w:rPr>
          <w:rStyle w:val="CharStyle8"/>
          <w:lang w:val="ru-RU" w:eastAsia="ru-RU" w:bidi="ru-RU"/>
          <w:b/>
          <w:bCs/>
        </w:rPr>
        <w:tab/>
      </w:r>
      <w:r>
        <w:rPr>
          <w:rStyle w:val="CharStyle9"/>
          <w:b w:val="0"/>
          <w:bCs w:val="0"/>
        </w:rPr>
        <w:t>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019</w:t>
      </w:r>
    </w:p>
    <w:p>
      <w:pPr>
        <w:pStyle w:val="Style10"/>
        <w:framePr w:w="9706" w:h="1632" w:hRule="exact" w:wrap="none" w:vAnchor="page" w:hAnchor="page" w:x="1185" w:y="31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доступности</w:t>
      </w:r>
    </w:p>
    <w:p>
      <w:pPr>
        <w:pStyle w:val="Style10"/>
        <w:framePr w:w="9706" w:h="1632" w:hRule="exact" w:wrap="none" w:vAnchor="page" w:hAnchor="page" w:x="1185" w:y="31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инвалидов и маломобильных граждан</w:t>
        <w:br/>
        <w:t>Муниципального дошкольного образовательного учреждения</w:t>
        <w:br/>
        <w:t>«Детский сад комбинированного вида № 118 п. Полевой»</w:t>
        <w:br/>
        <w:t>и предоставляемых на нем услуг в сфере образования</w:t>
      </w:r>
    </w:p>
    <w:p>
      <w:pPr>
        <w:pStyle w:val="Style12"/>
        <w:numPr>
          <w:ilvl w:val="0"/>
          <w:numId w:val="1"/>
        </w:numPr>
        <w:framePr w:w="9706" w:h="10176" w:hRule="exact" w:wrap="none" w:vAnchor="page" w:hAnchor="page" w:x="1185" w:y="5354"/>
        <w:tabs>
          <w:tab w:leader="none" w:pos="357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сведения об объекте</w:t>
      </w:r>
      <w:bookmarkEnd w:id="0"/>
    </w:p>
    <w:p>
      <w:pPr>
        <w:pStyle w:val="Style3"/>
        <w:numPr>
          <w:ilvl w:val="1"/>
          <w:numId w:val="1"/>
        </w:numPr>
        <w:framePr w:w="9706" w:h="10176" w:hRule="exact" w:wrap="none" w:vAnchor="page" w:hAnchor="page" w:x="1185" w:y="5354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Вид (наименование) объекта —- </w:t>
      </w:r>
      <w:r>
        <w:rPr>
          <w:rStyle w:val="CharStyle14"/>
        </w:rPr>
        <w:t>нежилое здание</w:t>
      </w:r>
    </w:p>
    <w:p>
      <w:pPr>
        <w:pStyle w:val="Style3"/>
        <w:numPr>
          <w:ilvl w:val="1"/>
          <w:numId w:val="1"/>
        </w:numPr>
        <w:framePr w:w="9706" w:h="10176" w:hRule="exact" w:wrap="none" w:vAnchor="page" w:hAnchor="page" w:x="1185" w:y="535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объекта 456507, Челябинская область, Сосновский район, и. Полевой, улица Лесная 18.</w:t>
      </w:r>
    </w:p>
    <w:p>
      <w:pPr>
        <w:pStyle w:val="Style3"/>
        <w:numPr>
          <w:ilvl w:val="1"/>
          <w:numId w:val="1"/>
        </w:numPr>
        <w:framePr w:w="9706" w:h="10176" w:hRule="exact" w:wrap="none" w:vAnchor="page" w:hAnchor="page" w:x="1185" w:y="5354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размещении объекта: отдельно стоящее здание , общая площадь 1979,1 кв.м</w:t>
      </w:r>
    </w:p>
    <w:p>
      <w:pPr>
        <w:pStyle w:val="Style3"/>
        <w:numPr>
          <w:ilvl w:val="1"/>
          <w:numId w:val="1"/>
        </w:numPr>
        <w:framePr w:w="9706" w:h="10176" w:hRule="exact" w:wrap="none" w:vAnchor="page" w:hAnchor="page" w:x="1185" w:y="5354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Год постройки здания: 1984, последнего капитального ремонта 2013 г</w:t>
      </w:r>
    </w:p>
    <w:p>
      <w:pPr>
        <w:pStyle w:val="Style3"/>
        <w:numPr>
          <w:ilvl w:val="1"/>
          <w:numId w:val="1"/>
        </w:numPr>
        <w:framePr w:w="9706" w:h="10176" w:hRule="exact" w:wrap="none" w:vAnchor="page" w:hAnchor="page" w:x="1185" w:y="5354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предстоящих плановых ремонтных работ: июль 2021 г.</w:t>
      </w:r>
    </w:p>
    <w:p>
      <w:pPr>
        <w:pStyle w:val="Style12"/>
        <w:framePr w:w="9706" w:h="10176" w:hRule="exact" w:wrap="none" w:vAnchor="page" w:hAnchor="page" w:x="1185" w:y="53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0" w:firstLine="260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Управленческое решение</w:t>
      </w:r>
      <w:bookmarkEnd w:id="1"/>
    </w:p>
    <w:p>
      <w:pPr>
        <w:pStyle w:val="Style3"/>
        <w:framePr w:w="9706" w:h="10176" w:hRule="exact" w:wrap="none" w:vAnchor="page" w:hAnchor="page" w:x="1185" w:y="53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1.6 Название организации: Муниципальное дошкольное образовательное учреждение «Детский сад комбинированного вида № 118 и. Полевой» (МДОУ «ДС КВ № 118 п. Полевой»)</w:t>
      </w:r>
    </w:p>
    <w:p>
      <w:pPr>
        <w:pStyle w:val="Style3"/>
        <w:numPr>
          <w:ilvl w:val="0"/>
          <w:numId w:val="3"/>
        </w:numPr>
        <w:framePr w:w="9706" w:h="10176" w:hRule="exact" w:wrap="none" w:vAnchor="page" w:hAnchor="page" w:x="1185" w:y="5354"/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Основание для пользования объектом </w:t>
      </w:r>
      <w:r>
        <w:rPr>
          <w:rStyle w:val="CharStyle15"/>
        </w:rPr>
        <w:t xml:space="preserve">(оперативное управление, аренда, собственность) —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Оперативное управление (Распоряжение Комитета по управлению имуществом и земельным отношениям Сосновского муниципального района № 52 от 25.05.2012)</w:t>
      </w:r>
    </w:p>
    <w:p>
      <w:pPr>
        <w:pStyle w:val="Style3"/>
        <w:numPr>
          <w:ilvl w:val="0"/>
          <w:numId w:val="3"/>
        </w:numPr>
        <w:framePr w:w="9706" w:h="10176" w:hRule="exact" w:wrap="none" w:vAnchor="page" w:hAnchor="page" w:x="1185" w:y="5354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Юридический адрес организации - 456507, Челябинская область, Сосновский район, п. Полевой, ул. Лесная, д. 18.</w:t>
      </w:r>
    </w:p>
    <w:p>
      <w:pPr>
        <w:pStyle w:val="Style3"/>
        <w:numPr>
          <w:ilvl w:val="0"/>
          <w:numId w:val="3"/>
        </w:numPr>
        <w:framePr w:w="9706" w:h="10176" w:hRule="exact" w:wrap="none" w:vAnchor="page" w:hAnchor="page" w:x="1185" w:y="5354"/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Форма собственности- государственная</w:t>
      </w:r>
    </w:p>
    <w:p>
      <w:pPr>
        <w:pStyle w:val="Style3"/>
        <w:numPr>
          <w:ilvl w:val="0"/>
          <w:numId w:val="3"/>
        </w:numPr>
        <w:framePr w:w="9706" w:h="10176" w:hRule="exact" w:wrap="none" w:vAnchor="page" w:hAnchor="page" w:x="1185" w:y="5354"/>
        <w:tabs>
          <w:tab w:leader="none" w:pos="6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Территориальная принадлежность - муниципальная</w:t>
      </w:r>
    </w:p>
    <w:p>
      <w:pPr>
        <w:pStyle w:val="Style3"/>
        <w:numPr>
          <w:ilvl w:val="0"/>
          <w:numId w:val="3"/>
        </w:numPr>
        <w:framePr w:w="9706" w:h="10176" w:hRule="exact" w:wrap="none" w:vAnchor="page" w:hAnchor="page" w:x="1185" w:y="5354"/>
        <w:tabs>
          <w:tab w:leader="none" w:pos="6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Вышестоящая организация - Муниципальное образование Сосновский муниципальный район, Челябинской области.</w:t>
      </w:r>
    </w:p>
    <w:p>
      <w:pPr>
        <w:pStyle w:val="Style3"/>
        <w:numPr>
          <w:ilvl w:val="0"/>
          <w:numId w:val="3"/>
        </w:numPr>
        <w:framePr w:w="9706" w:h="10176" w:hRule="exact" w:wrap="none" w:vAnchor="page" w:hAnchor="page" w:x="1185" w:y="5354"/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вышестоящей организации — Российская Федерация, 456510, Челябинская область, Сосновский район, с. Долгодеревенское, ул. Набережная 1</w:t>
      </w:r>
    </w:p>
    <w:p>
      <w:pPr>
        <w:pStyle w:val="Style12"/>
        <w:numPr>
          <w:ilvl w:val="0"/>
          <w:numId w:val="1"/>
        </w:numPr>
        <w:framePr w:w="9706" w:h="10176" w:hRule="exact" w:wrap="none" w:vAnchor="page" w:hAnchor="page" w:x="1185" w:y="5354"/>
        <w:tabs>
          <w:tab w:leader="none" w:pos="209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74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Характеристика деятельности организации на объекте</w:t>
      </w:r>
      <w:bookmarkEnd w:id="2"/>
    </w:p>
    <w:p>
      <w:pPr>
        <w:pStyle w:val="Style16"/>
        <w:framePr w:w="9706" w:h="10176" w:hRule="exact" w:wrap="none" w:vAnchor="page" w:hAnchor="page" w:x="1185" w:y="535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"/>
        </w:rPr>
        <w:t xml:space="preserve">2.1 Сфера деятельности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- </w:t>
      </w:r>
      <w:r>
        <w:rPr>
          <w:rStyle w:val="CharStyle18"/>
        </w:rPr>
        <w:t>Образование</w:t>
      </w:r>
    </w:p>
    <w:p>
      <w:pPr>
        <w:pStyle w:val="Style3"/>
        <w:numPr>
          <w:ilvl w:val="0"/>
          <w:numId w:val="5"/>
        </w:numPr>
        <w:framePr w:w="9706" w:h="10176" w:hRule="exact" w:wrap="none" w:vAnchor="page" w:hAnchor="page" w:x="1185" w:y="535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Категории обслуживаемого населения по возрасту: </w:t>
      </w:r>
      <w:r>
        <w:rPr>
          <w:rStyle w:val="CharStyle15"/>
        </w:rPr>
        <w:t xml:space="preserve">(дети, взрослые трудоспособного возраста, пожилые, все возрастные категории)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дети дошкольного возраста</w:t>
      </w:r>
    </w:p>
    <w:p>
      <w:pPr>
        <w:pStyle w:val="Style16"/>
        <w:numPr>
          <w:ilvl w:val="0"/>
          <w:numId w:val="5"/>
        </w:numPr>
        <w:framePr w:w="9706" w:h="10176" w:hRule="exact" w:wrap="none" w:vAnchor="page" w:hAnchor="page" w:x="1185" w:y="535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8"/>
        </w:rPr>
        <w:t xml:space="preserve">Категории обслуживаемых инвалидов (по виду нарушений):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инвалиды на коляске, инвалиды с патологией опорно-двигательного аппарата, по зрению, по слуху, с умственной отсталостью - </w:t>
      </w:r>
      <w:r>
        <w:rPr>
          <w:rStyle w:val="CharStyle18"/>
        </w:rPr>
        <w:t>Инвалиды с патологией опорно-двигательного аппарата</w:t>
      </w:r>
    </w:p>
    <w:p>
      <w:pPr>
        <w:pStyle w:val="Style3"/>
        <w:numPr>
          <w:ilvl w:val="0"/>
          <w:numId w:val="5"/>
        </w:numPr>
        <w:framePr w:w="9706" w:h="10176" w:hRule="exact" w:wrap="none" w:vAnchor="page" w:hAnchor="page" w:x="1185" w:y="535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Виды услуг: нет</w:t>
      </w:r>
    </w:p>
    <w:p>
      <w:pPr>
        <w:pStyle w:val="Style16"/>
        <w:numPr>
          <w:ilvl w:val="0"/>
          <w:numId w:val="5"/>
        </w:numPr>
        <w:framePr w:w="9706" w:h="10176" w:hRule="exact" w:wrap="none" w:vAnchor="page" w:hAnchor="page" w:x="1185" w:y="535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8"/>
        </w:rPr>
        <w:t xml:space="preserve">Форма оказания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услуг: (на объекте, с длительным пребыванием, в т.ч проживанием, на дому, дистанционно)- </w:t>
      </w:r>
      <w:r>
        <w:rPr>
          <w:rStyle w:val="CharStyle18"/>
        </w:rPr>
        <w:t>на объекте</w:t>
      </w:r>
    </w:p>
    <w:p>
      <w:pPr>
        <w:pStyle w:val="Style16"/>
        <w:numPr>
          <w:ilvl w:val="0"/>
          <w:numId w:val="5"/>
        </w:numPr>
        <w:framePr w:w="9706" w:h="10176" w:hRule="exact" w:wrap="none" w:vAnchor="page" w:hAnchor="page" w:x="1185" w:y="5354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18"/>
        </w:rPr>
        <w:t xml:space="preserve">Плановая мощность: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посещаемость (количество обслуживаемых в день), вместимость, пропускная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35pt;margin-top:100.05pt;width:108.pt;height:67.2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6"/>
        <w:framePr w:w="9715" w:h="1370" w:hRule="exact" w:wrap="none" w:vAnchor="page" w:hAnchor="page" w:x="1180" w:y="107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способность— 160</w:t>
      </w:r>
    </w:p>
    <w:p>
      <w:pPr>
        <w:pStyle w:val="Style3"/>
        <w:framePr w:w="9715" w:h="1370" w:hRule="exact" w:wrap="none" w:vAnchor="page" w:hAnchor="page" w:x="1180" w:y="1070"/>
        <w:widowControl w:val="0"/>
        <w:keepNext w:val="0"/>
        <w:keepLines w:val="0"/>
        <w:shd w:val="clear" w:color="auto" w:fill="auto"/>
        <w:bidi w:val="0"/>
        <w:jc w:val="left"/>
        <w:spacing w:before="0" w:after="20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2.7.Участие в исполнении ИПР инвалида, ребенка- инвалида(да, </w:t>
      </w:r>
      <w:r>
        <w:rPr>
          <w:rStyle w:val="CharStyle15"/>
        </w:rPr>
        <w:t>нет)</w:t>
      </w:r>
    </w:p>
    <w:p>
      <w:pPr>
        <w:pStyle w:val="Style12"/>
        <w:numPr>
          <w:ilvl w:val="0"/>
          <w:numId w:val="1"/>
        </w:numPr>
        <w:framePr w:w="9715" w:h="1370" w:hRule="exact" w:wrap="none" w:vAnchor="page" w:hAnchor="page" w:x="1180" w:y="1070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60" w:right="0" w:hanging="80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  <w:bookmarkEnd w:id="3"/>
    </w:p>
    <w:tbl>
      <w:tblPr>
        <w:tblOverlap w:val="never"/>
        <w:tblLayout w:type="fixed"/>
        <w:jc w:val="left"/>
      </w:tblPr>
      <w:tblGrid>
        <w:gridCol w:w="691"/>
        <w:gridCol w:w="5626"/>
        <w:gridCol w:w="3365"/>
      </w:tblGrid>
      <w:tr>
        <w:trPr>
          <w:trHeight w:val="1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Основные показатели доступности для инвалидов объекта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Оценка состояния и имеющихся недостатков в обеспечении условия доступности для инвалидов объекта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Выделенные стоянки автотранспортных средств для инвалидов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Сменные кресла-коляски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Адаптивные лифты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Поручни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Пандусы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Подъемные платформы (аппарели)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Раздвижные двери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Доступные входные группы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Доступные санитарно-гигиенические помещения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1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Надлежащие размещение оборудования и носителей информации, необходимых для обеспечения беспрепятственного доступа к объектам(местам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17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Дублирование необходимой для инвалидов имеющих стойкие расстройства функции зрения, зрительной информации- звуковой информации, а также надписей, знаков и иной текстовой и графической информации знаками, выполненными рельефно</w:t>
              <w:softHyphen/>
              <w:t>точечным шрифтом Брайля на контрастном фоне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Кнопка вызова на входе в здание для инвалидов колясочников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82" w:h="10522" w:wrap="none" w:vAnchor="page" w:hAnchor="page" w:x="1204" w:y="26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Отсутствуют</w:t>
            </w:r>
          </w:p>
        </w:tc>
      </w:tr>
    </w:tbl>
    <w:p>
      <w:pPr>
        <w:pStyle w:val="Style19"/>
        <w:framePr w:wrap="none" w:vAnchor="page" w:hAnchor="page" w:x="1588" w:y="134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Оценка состояния условий доступности для инвалидов предоставляемых услуг</w:t>
      </w:r>
    </w:p>
    <w:tbl>
      <w:tblPr>
        <w:tblOverlap w:val="never"/>
        <w:tblLayout w:type="fixed"/>
        <w:jc w:val="left"/>
      </w:tblPr>
      <w:tblGrid>
        <w:gridCol w:w="672"/>
        <w:gridCol w:w="5621"/>
        <w:gridCol w:w="3355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8" w:h="1531" w:wrap="none" w:vAnchor="page" w:hAnchor="page" w:x="1248" w:y="13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48" w:h="1531" w:wrap="none" w:vAnchor="page" w:hAnchor="page" w:x="1248" w:y="13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Основные показатели доступности для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48" w:h="1531" w:wrap="none" w:vAnchor="page" w:hAnchor="page" w:x="1248" w:y="13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Оценка состояния имеющихся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48" w:h="1531" w:wrap="none" w:vAnchor="page" w:hAnchor="page" w:x="1248" w:y="13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48" w:h="1531" w:wrap="none" w:vAnchor="page" w:hAnchor="page" w:x="1248" w:y="13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предоставления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9648" w:h="1531" w:wrap="none" w:vAnchor="page" w:hAnchor="page" w:x="1248" w:y="13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недостатков в обеспечении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8" w:h="1531" w:wrap="none" w:vAnchor="page" w:hAnchor="page" w:x="1248" w:y="13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8" w:h="1531" w:wrap="none" w:vAnchor="page" w:hAnchor="page" w:x="1248" w:y="1399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9648" w:h="1531" w:wrap="none" w:vAnchor="page" w:hAnchor="page" w:x="1248" w:y="1399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условия доступности для инвалидов предоставляемой услуги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10"/>
        <w:gridCol w:w="5621"/>
        <w:gridCol w:w="3389"/>
      </w:tblGrid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</w:tr>
      <w:tr>
        <w:trPr>
          <w:trHeight w:val="17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Обеспечение инвалидам помощи, необходимой в доступной форме информации о правилах предоставления услуги, в том числе об оформлении необходимых для получения услуги документов о совершении ими других необходимых для получения услуги действий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Нет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з;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Проведение инструктирования для обучения сотрудников, предоставляющих услуги населению, для работы с инвалидами по вопросам, связанных с обеспечением доступности для них объектов и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Запланировано проведение инструктажей со всеми сотрудниками в 2019 г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Наличие работников организаций на которых имеется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Имеется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Имеется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Предоставление инвалиду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</w:tr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 xml:space="preserve">Обеспечение доступа на объект, в котором предоставляются услуги, собаки-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</w:t>
            </w:r>
            <w:r>
              <w:rPr>
                <w:rStyle w:val="CharStyle21"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21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Адаптация официального сайта органа и организации, предоставляющих услуги в сфере образования, для лиц с нарушениями зрения (слабовидящих)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Сайт адаптирован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Обеспечение предоставления услуг тьютера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720" w:h="12797" w:wrap="none" w:vAnchor="page" w:hAnchor="page" w:x="1178" w:y="107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rap="none" w:vAnchor="page" w:hAnchor="page" w:x="3790" w:y="13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5.Предлагаемые управленческие решения</w:t>
      </w:r>
    </w:p>
    <w:p>
      <w:pPr>
        <w:framePr w:wrap="none" w:vAnchor="page" w:hAnchor="page" w:x="1313" w:y="1740"/>
        <w:widowControl w:val="0"/>
      </w:pPr>
    </w:p>
    <w:tbl>
      <w:tblPr>
        <w:tblOverlap w:val="never"/>
        <w:tblLayout w:type="fixed"/>
        <w:jc w:val="left"/>
      </w:tblPr>
      <w:tblGrid>
        <w:gridCol w:w="739"/>
        <w:gridCol w:w="5683"/>
        <w:gridCol w:w="3230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2947" w:wrap="none" w:vAnchor="page" w:hAnchor="page" w:x="1534" w:y="2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соответствие с требованиями законодательства РФ об обеспечении условий их доступности для инвалидов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9653" w:h="2947" w:wrap="none" w:vAnchor="page" w:hAnchor="page" w:x="1534" w:y="257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Установка знаков, указателей на объекте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Выполнение при условии финансирования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Приобретение табличек с указателями выходов,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Выполнение при условии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2947" w:wrap="none" w:vAnchor="page" w:hAnchor="page" w:x="1534" w:y="2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поворотов, лестниц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финансирования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Приобретение вывески с информацией об объекте,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Выполнение при условии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53" w:h="2947" w:wrap="none" w:vAnchor="page" w:hAnchor="page" w:x="1534" w:y="2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выполненной рельефно-точечным шрифтом Брайля на контрастном фоне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9653" w:h="2947" w:wrap="none" w:vAnchor="page" w:hAnchor="page" w:x="1534" w:y="2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финансирования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7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Малые прописные"/>
    <w:basedOn w:val="CharStyle4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character" w:customStyle="1" w:styleId="CharStyle6">
    <w:name w:val="Основной текст (2) + Franklin Gothic Heavy,16 pt"/>
    <w:basedOn w:val="CharStyle4"/>
    <w:rPr>
      <w:lang w:val="ru-RU" w:eastAsia="ru-RU" w:bidi="ru-RU"/>
      <w:sz w:val="32"/>
      <w:szCs w:val="32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7">
    <w:name w:val="Основной текст (2) + 7,5 pt,Полужирный,Курсив,Интервал -1 pt"/>
    <w:basedOn w:val="CharStyle4"/>
    <w:rPr>
      <w:lang w:val="ru-RU" w:eastAsia="ru-RU" w:bidi="ru-RU"/>
      <w:b/>
      <w:bCs/>
      <w:i/>
      <w:iCs/>
      <w:u w:val="single"/>
      <w:sz w:val="15"/>
      <w:szCs w:val="15"/>
      <w:w w:val="100"/>
      <w:spacing w:val="-20"/>
      <w:color w:val="000000"/>
      <w:position w:val="0"/>
    </w:rPr>
  </w:style>
  <w:style w:type="character" w:customStyle="1" w:styleId="CharStyle8">
    <w:name w:val="Основной текст (2) + 7,5 pt,Полужирный,Курсив,Интервал -1 pt"/>
    <w:basedOn w:val="CharStyle4"/>
    <w:rPr>
      <w:lang w:val="1024"/>
      <w:b/>
      <w:bCs/>
      <w:i/>
      <w:iCs/>
      <w:sz w:val="15"/>
      <w:szCs w:val="15"/>
      <w:w w:val="100"/>
      <w:spacing w:val="-20"/>
      <w:color w:val="000000"/>
      <w:position w:val="0"/>
    </w:rPr>
  </w:style>
  <w:style w:type="character" w:customStyle="1" w:styleId="CharStyle9">
    <w:name w:val="Основной текст (2) + Trebuchet MS,11 pt,Курсив"/>
    <w:basedOn w:val="CharStyle4"/>
    <w:rPr>
      <w:lang w:val="ru-RU" w:eastAsia="ru-RU" w:bidi="ru-RU"/>
      <w:b/>
      <w:bCs/>
      <w:i/>
      <w:iCs/>
      <w:sz w:val="22"/>
      <w:szCs w:val="22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Заголовок №1_"/>
    <w:basedOn w:val="DefaultParagraphFont"/>
    <w:link w:val="Style1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Основной текст (2) +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">
    <w:name w:val="Основной текст (4) + 12 pt"/>
    <w:basedOn w:val="CharStyle1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Подпись к таблице_"/>
    <w:basedOn w:val="DefaultParagraphFont"/>
    <w:link w:val="Style1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1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3">
    <w:name w:val="Колонтитул_"/>
    <w:basedOn w:val="DefaultParagraphFont"/>
    <w:link w:val="Style2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spacing w:after="480" w:line="317" w:lineRule="exact"/>
      <w:ind w:firstLine="260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FFFFFF"/>
      <w:jc w:val="both"/>
      <w:outlineLvl w:val="0"/>
      <w:spacing w:before="480" w:line="274" w:lineRule="exact"/>
      <w:ind w:hanging="78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both"/>
      <w:spacing w:before="60" w:line="24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Колонтитул"/>
    <w:basedOn w:val="Normal"/>
    <w:link w:val="CharStyle2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